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DF" w:rsidRPr="006253B6" w:rsidRDefault="00FD40DF" w:rsidP="006253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6253B6">
        <w:rPr>
          <w:rFonts w:ascii="Arial" w:hAnsi="Arial" w:cs="Arial"/>
          <w:b/>
          <w:sz w:val="24"/>
          <w:szCs w:val="24"/>
          <w:lang w:bidi="ar-SA"/>
        </w:rPr>
        <w:t>REGIMENTO PARA ETAPA MUNICIPAL DA CONFERÊNCIA NACIONAL DE SAÚDE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CAPÍTULO I</w:t>
      </w:r>
    </w:p>
    <w:p w:rsid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DA FINALIDADE E DO OBJETIVO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5253E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 xml:space="preserve">Art. 1º Este Regimento tem por finalidade normatizar os processos de organização, realização e funcionamento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Pr="005253EF">
        <w:rPr>
          <w:rFonts w:ascii="Arial" w:hAnsi="Arial" w:cs="Arial"/>
          <w:sz w:val="24"/>
          <w:szCs w:val="24"/>
          <w:lang w:bidi="ar-SA"/>
        </w:rPr>
        <w:t xml:space="preserve"> Etapa Municipal da Conferência Nacional de Saúde de </w:t>
      </w:r>
      <w:r w:rsidR="00BE3B1F">
        <w:rPr>
          <w:rFonts w:ascii="Arial" w:hAnsi="Arial" w:cs="Arial"/>
          <w:sz w:val="24"/>
          <w:szCs w:val="24"/>
          <w:lang w:bidi="ar-SA"/>
        </w:rPr>
        <w:t>Paraúna</w:t>
      </w:r>
      <w:r w:rsidRPr="005253EF">
        <w:rPr>
          <w:rFonts w:ascii="Arial" w:hAnsi="Arial" w:cs="Arial"/>
          <w:sz w:val="24"/>
          <w:szCs w:val="24"/>
          <w:lang w:bidi="ar-SA"/>
        </w:rPr>
        <w:t xml:space="preserve"> – Goiás.</w:t>
      </w:r>
    </w:p>
    <w:p w:rsidR="00FD40DF" w:rsidRPr="005253E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 xml:space="preserve">Art. 2º A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V </w:t>
      </w:r>
      <w:r w:rsidRPr="005253EF">
        <w:rPr>
          <w:rFonts w:ascii="Arial" w:hAnsi="Arial" w:cs="Arial"/>
          <w:sz w:val="24"/>
          <w:szCs w:val="24"/>
          <w:lang w:bidi="ar-SA"/>
        </w:rPr>
        <w:t xml:space="preserve">Etapa da Municipal da Conferência Nacional de Saúde, convocada pelo Decreto Federal n.º </w:t>
      </w:r>
      <w:r w:rsidR="005253EF" w:rsidRPr="005253EF">
        <w:rPr>
          <w:rFonts w:ascii="Arial" w:hAnsi="Arial" w:cs="Arial"/>
          <w:sz w:val="24"/>
          <w:szCs w:val="24"/>
          <w:lang w:bidi="ar-SA"/>
        </w:rPr>
        <w:t>9.463</w:t>
      </w:r>
      <w:r w:rsidRPr="005253EF">
        <w:rPr>
          <w:rFonts w:ascii="Arial" w:hAnsi="Arial" w:cs="Arial"/>
          <w:sz w:val="24"/>
          <w:szCs w:val="24"/>
          <w:lang w:bidi="ar-SA"/>
        </w:rPr>
        <w:t xml:space="preserve">, de </w:t>
      </w:r>
      <w:r w:rsidR="005253EF" w:rsidRPr="005253EF">
        <w:rPr>
          <w:rFonts w:ascii="Arial" w:hAnsi="Arial" w:cs="Arial"/>
          <w:sz w:val="24"/>
          <w:szCs w:val="24"/>
          <w:lang w:bidi="ar-SA"/>
        </w:rPr>
        <w:t xml:space="preserve">08 de agosto de 2018, </w:t>
      </w:r>
      <w:r w:rsidRPr="005253EF">
        <w:rPr>
          <w:rFonts w:ascii="Arial" w:hAnsi="Arial" w:cs="Arial"/>
          <w:sz w:val="24"/>
          <w:szCs w:val="24"/>
          <w:lang w:bidi="ar-SA"/>
        </w:rPr>
        <w:t xml:space="preserve">publicado no Diário Oficial da União em </w:t>
      </w:r>
      <w:r w:rsidR="005253EF">
        <w:rPr>
          <w:rFonts w:ascii="Arial" w:hAnsi="Arial" w:cs="Arial"/>
          <w:sz w:val="24"/>
          <w:szCs w:val="24"/>
          <w:lang w:bidi="ar-SA"/>
        </w:rPr>
        <w:t>10</w:t>
      </w:r>
      <w:r w:rsidRPr="005253EF">
        <w:rPr>
          <w:rFonts w:ascii="Arial" w:hAnsi="Arial" w:cs="Arial"/>
          <w:sz w:val="24"/>
          <w:szCs w:val="24"/>
          <w:lang w:bidi="ar-SA"/>
        </w:rPr>
        <w:t xml:space="preserve"> de </w:t>
      </w:r>
      <w:r w:rsidR="005253EF">
        <w:rPr>
          <w:rFonts w:ascii="Arial" w:hAnsi="Arial" w:cs="Arial"/>
          <w:sz w:val="24"/>
          <w:szCs w:val="24"/>
          <w:lang w:bidi="ar-SA"/>
        </w:rPr>
        <w:t>agosto de 2018</w:t>
      </w:r>
      <w:r w:rsidRPr="005253EF">
        <w:rPr>
          <w:rFonts w:ascii="Arial" w:hAnsi="Arial" w:cs="Arial"/>
          <w:sz w:val="24"/>
          <w:szCs w:val="24"/>
          <w:lang w:bidi="ar-SA"/>
        </w:rPr>
        <w:t>, tem o objetivo de avaliar a situação de saúde da população, a estrutura das Redes de Serviços e de Atenção à Saúde, os processos de trabalho da Secretaria Municipal de Saúde e formular diretrizes para subsidiar a atualização do Plano Municipal de Saúde e a elaboração dos Planos Estadual e Nacional.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CAPÍTULO II</w:t>
      </w:r>
    </w:p>
    <w:p w:rsid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DO TEMA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5253EF" w:rsidRDefault="00FD40DF" w:rsidP="005253E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 xml:space="preserve">Art. 3º A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V Etapa Municipal da Conferência Nacional de Saúde </w:t>
      </w:r>
      <w:r w:rsidR="005253EF">
        <w:rPr>
          <w:rFonts w:ascii="Arial" w:hAnsi="Arial" w:cs="Arial"/>
          <w:sz w:val="24"/>
          <w:szCs w:val="24"/>
          <w:lang w:bidi="ar-SA"/>
        </w:rPr>
        <w:t xml:space="preserve">tem como </w:t>
      </w:r>
      <w:r w:rsidRPr="005253EF">
        <w:rPr>
          <w:rFonts w:ascii="Arial" w:hAnsi="Arial" w:cs="Arial"/>
          <w:sz w:val="24"/>
          <w:szCs w:val="24"/>
          <w:lang w:bidi="ar-SA"/>
        </w:rPr>
        <w:t>tema:</w:t>
      </w:r>
      <w:r w:rsidR="005253EF" w:rsidRPr="005253EF">
        <w:rPr>
          <w:rFonts w:ascii="Arial" w:hAnsi="Arial" w:cs="Arial"/>
          <w:sz w:val="24"/>
          <w:szCs w:val="24"/>
          <w:lang w:bidi="ar-SA"/>
        </w:rPr>
        <w:t xml:space="preserve"> “Democracia e Saúde: Saúde como Direito e Consolidação e Financiamento do SUS”.</w:t>
      </w:r>
    </w:p>
    <w:p w:rsidR="00FD40DF" w:rsidRPr="005253EF" w:rsidRDefault="00FD40DF" w:rsidP="005253E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>Parágra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fo Único. Os eixos temáticos </w:t>
      </w:r>
      <w:r w:rsidRPr="005253EF">
        <w:rPr>
          <w:rFonts w:ascii="Arial" w:hAnsi="Arial" w:cs="Arial"/>
          <w:sz w:val="24"/>
          <w:szCs w:val="24"/>
          <w:lang w:bidi="ar-SA"/>
        </w:rPr>
        <w:t>são:</w:t>
      </w:r>
    </w:p>
    <w:p w:rsidR="005253EF" w:rsidRPr="005253EF" w:rsidRDefault="005253EF" w:rsidP="005253E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>I – Saúde como direito;</w:t>
      </w:r>
    </w:p>
    <w:p w:rsidR="005253EF" w:rsidRPr="005253EF" w:rsidRDefault="005253EF" w:rsidP="005253E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>II – Consolidação dos princípios do</w:t>
      </w:r>
      <w:r>
        <w:rPr>
          <w:rFonts w:ascii="Arial" w:hAnsi="Arial" w:cs="Arial"/>
          <w:sz w:val="24"/>
          <w:szCs w:val="24"/>
          <w:lang w:bidi="ar-SA"/>
        </w:rPr>
        <w:t xml:space="preserve"> Sistema Único de Saúde (SUS); </w:t>
      </w:r>
    </w:p>
    <w:p w:rsidR="00FD40DF" w:rsidRPr="005253EF" w:rsidRDefault="005253EF" w:rsidP="005253E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  <w:r w:rsidRPr="005253EF">
        <w:rPr>
          <w:rFonts w:ascii="Arial" w:hAnsi="Arial" w:cs="Arial"/>
          <w:sz w:val="24"/>
          <w:szCs w:val="24"/>
          <w:lang w:bidi="ar-SA"/>
        </w:rPr>
        <w:t>III – Financiamento adequado e suficiente para o SUS.</w:t>
      </w:r>
    </w:p>
    <w:p w:rsidR="005253EF" w:rsidRDefault="005253E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CAPÍTULO III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Da Realização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Art. 4º 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Pr="00FD40DF">
        <w:rPr>
          <w:rFonts w:ascii="Arial" w:hAnsi="Arial" w:cs="Arial"/>
          <w:sz w:val="24"/>
          <w:szCs w:val="24"/>
          <w:lang w:bidi="ar-SA"/>
        </w:rPr>
        <w:t>será realizada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no </w:t>
      </w:r>
      <w:r w:rsidR="00BE3B1F">
        <w:rPr>
          <w:rFonts w:ascii="Arial" w:hAnsi="Arial" w:cs="Arial"/>
          <w:sz w:val="24"/>
          <w:szCs w:val="24"/>
          <w:lang w:bidi="ar-SA"/>
        </w:rPr>
        <w:t>dia 26 de fevereiro 2019</w:t>
      </w:r>
      <w:r w:rsidRPr="00FD40DF">
        <w:rPr>
          <w:rFonts w:ascii="Arial" w:hAnsi="Arial" w:cs="Arial"/>
          <w:sz w:val="24"/>
          <w:szCs w:val="24"/>
          <w:lang w:bidi="ar-SA"/>
        </w:rPr>
        <w:t>, em local a ser definido mediante a execução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das fases de:</w:t>
      </w:r>
    </w:p>
    <w:p w:rsidR="00FD40DF" w:rsidRPr="00FD40DF" w:rsidRDefault="00FD40DF" w:rsidP="00BE3B1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Atualizaç</w:t>
      </w:r>
      <w:r w:rsidR="00BE3B1F">
        <w:rPr>
          <w:rFonts w:ascii="Arial" w:hAnsi="Arial" w:cs="Arial"/>
          <w:sz w:val="24"/>
          <w:szCs w:val="24"/>
          <w:lang w:bidi="ar-SA"/>
        </w:rPr>
        <w:t>ão e ampliação do Mapa da Saúde;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lastRenderedPageBreak/>
        <w:t>II. Análise da situação de saúde da população, da estrutura das Redes 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Serviços e de Atenção à Saúde, e dos processos de trabalho da Secretaria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Municipal de Saúde</w:t>
      </w:r>
      <w:r w:rsidR="00BE3B1F">
        <w:rPr>
          <w:rFonts w:ascii="Arial" w:hAnsi="Arial" w:cs="Arial"/>
          <w:sz w:val="24"/>
          <w:szCs w:val="24"/>
          <w:lang w:bidi="ar-SA"/>
        </w:rPr>
        <w:t>;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</w:t>
      </w:r>
    </w:p>
    <w:p w:rsidR="00FD40DF" w:rsidRPr="00FD40DF" w:rsidRDefault="00BE3B1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>III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. Realização da faze final para elaborar as diretrizes que subsidiarão a</w:t>
      </w:r>
      <w:r w:rsidR="00FD40DF">
        <w:rPr>
          <w:rFonts w:ascii="Arial" w:hAnsi="Arial" w:cs="Arial"/>
          <w:sz w:val="24"/>
          <w:szCs w:val="24"/>
          <w:lang w:bidi="ar-SA"/>
        </w:rPr>
        <w:t xml:space="preserve">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atualização do Plano Municipal de Saúde e a elaboração dos Planos</w:t>
      </w:r>
      <w:r w:rsidR="00FD40DF">
        <w:rPr>
          <w:rFonts w:ascii="Arial" w:hAnsi="Arial" w:cs="Arial"/>
          <w:sz w:val="24"/>
          <w:szCs w:val="24"/>
          <w:lang w:bidi="ar-SA"/>
        </w:rPr>
        <w:t xml:space="preserve">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Estadual e Nacional de Saúde;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1º A análise da situação de saúde da população, da estrutura das Redes 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Serviços e de Atenção à Saúde, e dos processos de trabalho da Secretaria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Municipal de Saúde serão realizadas, inicialmente pelo corpo técnico e,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posteriormente, nas atividades de </w:t>
      </w:r>
      <w:r w:rsidR="00BE3B1F">
        <w:rPr>
          <w:rFonts w:ascii="Arial" w:hAnsi="Arial" w:cs="Arial"/>
          <w:sz w:val="24"/>
          <w:szCs w:val="24"/>
          <w:lang w:bidi="ar-SA"/>
        </w:rPr>
        <w:t>conferência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com a participação da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comunidade.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§ 2º Nas atividades de </w:t>
      </w:r>
      <w:r w:rsidR="00BE3B1F">
        <w:rPr>
          <w:rFonts w:ascii="Arial" w:hAnsi="Arial" w:cs="Arial"/>
          <w:sz w:val="24"/>
          <w:szCs w:val="24"/>
          <w:lang w:bidi="ar-SA"/>
        </w:rPr>
        <w:t>conferência</w:t>
      </w:r>
      <w:r w:rsidRPr="00FD40DF">
        <w:rPr>
          <w:rFonts w:ascii="Arial" w:hAnsi="Arial" w:cs="Arial"/>
          <w:sz w:val="24"/>
          <w:szCs w:val="24"/>
          <w:lang w:bidi="ar-SA"/>
        </w:rPr>
        <w:t>, as organizações representativas dos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segmentos de usuários, trabalhadores da saúde vinculados ao SUS e 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gestores/prestadores de serviços de saúde vinculados ao SUS indicarão os seus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representantes para ocuparem as vagas de delegados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na Conferência Municipal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de Saúde.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3º A distribuição e ocupação das vagas de delegados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obedecerão a paridade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prevista na Resolução nº 453/2012-CNS.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4º A Secretaria Municipal de Saúde assegurará todas as condições materiais,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humanas e tecnológicas para a organização e realização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Etapa da Municipal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da Conferência Nacional de Saúde.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5º A responsabilidade pela realização do monitoramento, será de competência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do governo municipal e do Conselho Municipal de Saúde, com apoio solidário 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movimentos, entidades e instituições.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§ 6º A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V Etapa Municipal da Conferência Nacional de Saúde </w:t>
      </w:r>
      <w:r w:rsidRPr="00FD40DF">
        <w:rPr>
          <w:rFonts w:ascii="Arial" w:hAnsi="Arial" w:cs="Arial"/>
          <w:sz w:val="24"/>
          <w:szCs w:val="24"/>
          <w:lang w:bidi="ar-SA"/>
        </w:rPr>
        <w:t>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>Paraúna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será realizada sob os auspícios da Prefeitura Municipal 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Paraúna </w:t>
      </w:r>
      <w:r w:rsidRPr="00FD40DF">
        <w:rPr>
          <w:rFonts w:ascii="Arial" w:hAnsi="Arial" w:cs="Arial"/>
          <w:sz w:val="24"/>
          <w:szCs w:val="24"/>
          <w:lang w:bidi="ar-SA"/>
        </w:rPr>
        <w:t>por meio da Secretaria e do Conselho Municipal de Saúde.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7º Para estabelecer a paridade deve-se aplicar os seguintes conceitos: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Entende-se por segmento dos usuários (50%), o conjunto das entidades 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movimentos sociais que representam e congregam os indivíduos que não são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trabalhadores da saúde vinculados ao Sistema Único de Saúde. Não são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dirigentes de organizações prestadoras de serviços de saúde e não ocupam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cargos ou funções de confiança em organizações governamentais;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II. Entende-se por segmento dos trabalhadores da saúde (25%), o conjunto das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entidades e movimentos sociais que representam e congregam os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trabalhadores da saúde vinculados ao Sistema Único de Saúde. Os quais não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são dirigentes de </w:t>
      </w:r>
      <w:r w:rsidRPr="00FD40DF">
        <w:rPr>
          <w:rFonts w:ascii="Arial" w:hAnsi="Arial" w:cs="Arial"/>
          <w:sz w:val="24"/>
          <w:szCs w:val="24"/>
          <w:lang w:bidi="ar-SA"/>
        </w:rPr>
        <w:lastRenderedPageBreak/>
        <w:t>organizações prestadoras de serviços de saúde e não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ocupam cargos ou funções de confiança em organizações governamentais;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III. Entende-se por segmento dos gestores e prestadores de serviços de saúde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(25%) o conjunto das instituições gestoras de políticas públicas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vinculadas ao Poder Executivo e entidades que representam e congregam os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prestadores de serviços de saúde, públicos e privados vinculados ao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Sistema Único de Saúde.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 xml:space="preserve">Art. 5º A </w:t>
      </w:r>
      <w:r w:rsidR="00BE3B1F">
        <w:rPr>
          <w:rFonts w:ascii="Arial" w:hAnsi="Arial" w:cs="Arial"/>
          <w:color w:val="000000"/>
          <w:sz w:val="24"/>
          <w:szCs w:val="24"/>
          <w:lang w:bidi="ar-SA"/>
        </w:rPr>
        <w:t>V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color w:val="000000"/>
          <w:sz w:val="24"/>
          <w:szCs w:val="24"/>
          <w:lang w:bidi="ar-SA"/>
        </w:rPr>
        <w:t xml:space="preserve">Etapa Municipal da Conferência Nacional de Saúde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de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="00375967">
        <w:rPr>
          <w:rFonts w:ascii="Arial" w:hAnsi="Arial" w:cs="Arial"/>
          <w:color w:val="000000"/>
          <w:sz w:val="24"/>
          <w:szCs w:val="24"/>
          <w:lang w:bidi="ar-SA"/>
        </w:rPr>
        <w:t>Paraúna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 xml:space="preserve"> tem a seguinte estrutura: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I. Presidência;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II. Coordenação Geral;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III. Coordenação Adjunta;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IV. Comissão Executiva;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V. Comissão Organizadora;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VI. Comissão de Comunicação e Mobilização;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VII. Comissão de Formulação e Relatoria.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§ 1º A presidência será exercida pelo Secretário Municipal de Saúde e na sua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ausência, pelo Diretor de Atenção à Saúde.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§ 2º A Coordenação Geral será exercida pelo Presidente do Conselho Municipal de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Saúde.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§ 3º A Coordenação Adjunta será exercida pelo representante da Secretaria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Executiva do Conselho Municipal de Saúde na Comissão Executiva da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conferência.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§ 4º A Comissão Executiva terá os seguintes representantes: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I. 1 Coordenador – Presidente do Conselho Municipal de Saúde;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II. 1 Representante da Secretaria-Executiva do Conselho Municipal de Saúde;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III. 1 Conselheiro indicado pelo Plenário do CMS;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IV. 1 (um) representante da Administração Orçamentária e Financeira da SMS;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810000"/>
          <w:sz w:val="24"/>
          <w:szCs w:val="24"/>
          <w:lang w:bidi="ar-SA"/>
        </w:rPr>
        <w:t xml:space="preserve">V.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1 (um) representante da Diretoria de Atenção à Saúde;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§ 5º A Comissão Organizadora terá os seguintes representantes: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I. 01 (um) representante da Secretaria Municipal de Saúde;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II. 01 (um) representante da Atenção Básica;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III. 01 (um) representante da Mesa Diretora do Conselho Municipal de Saúde;</w:t>
      </w:r>
    </w:p>
    <w:p w:rsid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IV</w:t>
      </w:r>
      <w:r w:rsidRPr="00FD40DF">
        <w:rPr>
          <w:rFonts w:ascii="Arial" w:hAnsi="Arial" w:cs="Arial"/>
          <w:color w:val="810000"/>
          <w:sz w:val="24"/>
          <w:szCs w:val="24"/>
          <w:lang w:bidi="ar-SA"/>
        </w:rPr>
        <w:t xml:space="preserve">.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02 (dois) conselheiros aprovados pelo Plenário do Conselho Municipal de</w:t>
      </w:r>
      <w:r>
        <w:rPr>
          <w:rFonts w:ascii="Arial" w:hAnsi="Arial" w:cs="Arial"/>
          <w:color w:val="000000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color w:val="000000"/>
          <w:sz w:val="24"/>
          <w:szCs w:val="24"/>
          <w:lang w:bidi="ar-SA"/>
        </w:rPr>
        <w:t>Saúde, sendo 1 (um) usuários e 1 (um) trabalhador.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§ 6° A Comissão de Comunicação e Mobilização terá os seguintes representantes: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67BE7">
        <w:rPr>
          <w:rFonts w:ascii="Arial" w:hAnsi="Arial" w:cs="Arial"/>
          <w:sz w:val="24"/>
          <w:szCs w:val="24"/>
        </w:rPr>
        <w:lastRenderedPageBreak/>
        <w:t>I.</w:t>
      </w:r>
      <w:proofErr w:type="spellEnd"/>
      <w:r w:rsidRPr="00A67BE7">
        <w:rPr>
          <w:rFonts w:ascii="Arial" w:hAnsi="Arial" w:cs="Arial"/>
          <w:sz w:val="24"/>
          <w:szCs w:val="24"/>
        </w:rPr>
        <w:t>Representante do Segmento de Usuários;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II. Representante do Segmento de Usuários;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III.Representante do Segmento dos Trabalhadores de Saúde;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IV.Representante do Segmento dos Gestores;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V.Secretária Executiva do Conselho Municipal de Saúde.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§ 7° A Comissão de Formulação e Relatoria terá os seguintes representantes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67BE7">
        <w:rPr>
          <w:rFonts w:ascii="Arial" w:hAnsi="Arial" w:cs="Arial"/>
          <w:sz w:val="24"/>
          <w:szCs w:val="24"/>
        </w:rPr>
        <w:t>I.</w:t>
      </w:r>
      <w:proofErr w:type="spellEnd"/>
      <w:r w:rsidRPr="00A67BE7">
        <w:rPr>
          <w:rFonts w:ascii="Arial" w:hAnsi="Arial" w:cs="Arial"/>
          <w:sz w:val="24"/>
          <w:szCs w:val="24"/>
        </w:rPr>
        <w:t>Representante do Segmento de Usuários;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II. Representante do Segmento de Usuários;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III.Representante do Segmento dos Trabalhadores de Saúde;</w:t>
      </w:r>
    </w:p>
    <w:p w:rsidR="00A67BE7" w:rsidRPr="00A67BE7" w:rsidRDefault="00A67BE7" w:rsidP="00A67BE7">
      <w:pPr>
        <w:spacing w:line="360" w:lineRule="auto"/>
        <w:rPr>
          <w:rFonts w:ascii="Arial" w:hAnsi="Arial" w:cs="Arial"/>
          <w:sz w:val="24"/>
          <w:szCs w:val="24"/>
        </w:rPr>
      </w:pPr>
      <w:r w:rsidRPr="00A67BE7">
        <w:rPr>
          <w:rFonts w:ascii="Arial" w:hAnsi="Arial" w:cs="Arial"/>
          <w:sz w:val="24"/>
          <w:szCs w:val="24"/>
        </w:rPr>
        <w:t>IV.Representante do Segmento dos Gestores;</w:t>
      </w:r>
    </w:p>
    <w:p w:rsidR="00375967" w:rsidRPr="00375967" w:rsidRDefault="00375967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bidi="ar-SA"/>
        </w:rPr>
      </w:pP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CAPÍTULO V</w:t>
      </w:r>
    </w:p>
    <w:p w:rsid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FD40DF">
        <w:rPr>
          <w:rFonts w:ascii="Arial" w:hAnsi="Arial" w:cs="Arial"/>
          <w:b/>
          <w:sz w:val="24"/>
          <w:szCs w:val="24"/>
          <w:lang w:bidi="ar-SA"/>
        </w:rPr>
        <w:t>DAS ATRIBUIÇÕES DAS COMISSÕES</w:t>
      </w:r>
    </w:p>
    <w:p w:rsidR="00FD40DF" w:rsidRPr="00FD40DF" w:rsidRDefault="00FD40DF" w:rsidP="00FD4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Art. 6º A Comissão Executiva tem as seguintes atribuições: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Viabilizar a execução das deliberações da Comissão Organizadora;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II. Subsidiar e apoiar a realização das atividades das demais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Comissões;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III. Atuar para viabilizar as condições da </w:t>
      </w:r>
      <w:proofErr w:type="spellStart"/>
      <w:r w:rsidRPr="00FD40DF">
        <w:rPr>
          <w:rFonts w:ascii="Arial" w:hAnsi="Arial" w:cs="Arial"/>
          <w:sz w:val="24"/>
          <w:szCs w:val="24"/>
          <w:lang w:bidi="ar-SA"/>
        </w:rPr>
        <w:t>infraestrutura</w:t>
      </w:r>
      <w:proofErr w:type="spellEnd"/>
      <w:r w:rsidRPr="00FD40DF">
        <w:rPr>
          <w:rFonts w:ascii="Arial" w:hAnsi="Arial" w:cs="Arial"/>
          <w:sz w:val="24"/>
          <w:szCs w:val="24"/>
          <w:lang w:bidi="ar-SA"/>
        </w:rPr>
        <w:t xml:space="preserve"> necessárias à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realização da conferência;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IV. Prestar contas à Comissão Organizadora dos recursos destinados à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realização da Conferência;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V. Propor as condições de </w:t>
      </w:r>
      <w:proofErr w:type="spellStart"/>
      <w:r w:rsidRPr="00FD40DF">
        <w:rPr>
          <w:rFonts w:ascii="Arial" w:hAnsi="Arial" w:cs="Arial"/>
          <w:sz w:val="24"/>
          <w:szCs w:val="24"/>
          <w:lang w:bidi="ar-SA"/>
        </w:rPr>
        <w:t>infraestrutura</w:t>
      </w:r>
      <w:proofErr w:type="spellEnd"/>
      <w:r w:rsidRPr="00FD40DF">
        <w:rPr>
          <w:rFonts w:ascii="Arial" w:hAnsi="Arial" w:cs="Arial"/>
          <w:sz w:val="24"/>
          <w:szCs w:val="24"/>
          <w:lang w:bidi="ar-SA"/>
        </w:rPr>
        <w:t xml:space="preserve"> necessária para a realização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da </w:t>
      </w:r>
      <w:r w:rsidRPr="00FD40DF">
        <w:rPr>
          <w:rFonts w:ascii="Arial" w:hAnsi="Arial" w:cs="Arial"/>
          <w:sz w:val="24"/>
          <w:szCs w:val="24"/>
          <w:lang w:bidi="ar-SA"/>
        </w:rPr>
        <w:t>conferência, referentes ao local, ao credenciamento, equipamentos e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instalações audiovisuais, de reprografia, comunicação (telefone, Internet,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fax, dentre outros), hospedagem, transporte, alimentação e outras;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VI. Propor e monitorar a celebração de contratos e convênios necessários à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realização da conferência;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Parágrafo único. A Comissão Executiva deverá participar de todas as reuniões da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Comissão Organizadora.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Art. 7º A Comissão Organizadora tem as seguintes atribuições: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Promover, coordenar e supervisionar a realização da conferência, atendendo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aos aspectos técnicos, políticos, administrativos e financeiros, e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apresentando as propostas para deliberação do Conselho Municipal de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Saúde;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II. Elaborar e propor: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lastRenderedPageBreak/>
        <w:t>a) O Regulamento da conferência;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b) Apreciar a prestação de contas realizada pela Comissão Executiva;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c) Resolver as questões julgadas pertinentes não previstas nos itens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anteriores.</w:t>
      </w:r>
    </w:p>
    <w:p w:rsidR="00FD40DF" w:rsidRPr="00FD40DF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III. Monitorar a execução da organização e funcionamento da conferência,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inclusive nos aspectos de </w:t>
      </w:r>
      <w:proofErr w:type="spellStart"/>
      <w:r w:rsidRPr="00FD40DF">
        <w:rPr>
          <w:rFonts w:ascii="Arial" w:hAnsi="Arial" w:cs="Arial"/>
          <w:sz w:val="24"/>
          <w:szCs w:val="24"/>
          <w:lang w:bidi="ar-SA"/>
        </w:rPr>
        <w:t>infraestrutura</w:t>
      </w:r>
      <w:proofErr w:type="spellEnd"/>
      <w:r w:rsidRPr="00FD40DF">
        <w:rPr>
          <w:rFonts w:ascii="Arial" w:hAnsi="Arial" w:cs="Arial"/>
          <w:sz w:val="24"/>
          <w:szCs w:val="24"/>
          <w:lang w:bidi="ar-SA"/>
        </w:rPr>
        <w:t xml:space="preserve"> e orçamento;</w:t>
      </w:r>
    </w:p>
    <w:p w:rsidR="00FD40DF" w:rsidRPr="00A67BE7" w:rsidRDefault="00FD40DF" w:rsidP="0037596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IV. Apoiar e monitorar a realização das fases previstas no Art. 4º deste</w:t>
      </w:r>
      <w:r w:rsidR="0018664B" w:rsidRPr="00A67BE7">
        <w:rPr>
          <w:rFonts w:ascii="Arial" w:hAnsi="Arial" w:cs="Arial"/>
          <w:sz w:val="24"/>
          <w:szCs w:val="24"/>
          <w:lang w:bidi="ar-SA"/>
        </w:rPr>
        <w:t xml:space="preserve"> </w:t>
      </w:r>
      <w:r w:rsidRPr="00A67BE7">
        <w:rPr>
          <w:rFonts w:ascii="Arial" w:hAnsi="Arial" w:cs="Arial"/>
          <w:sz w:val="24"/>
          <w:szCs w:val="24"/>
          <w:lang w:bidi="ar-SA"/>
        </w:rPr>
        <w:t>Regimento.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Art. 8° A Comissão de Formulação e Relatoria tem as seguintes atribuições: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I. Elaborar e propor o método para consolidação dos Relatórios das atividades de pré – conferência, dos Grupos de Trabalho e da Plenária Final;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II. Consolidar os Relatórios das atividades da conferência, dos Grupos de Trabalho e da Plenária Final;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III. Propor nomes para compor a equipe de relatores da Plenária Final;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IV. Elaborar o Relatório Final da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V. Propor metodologia para a etapa final da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VI. Propor, encaminhar e coordenar a divulgação deste Regimento e de textos de apoio para 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VII. Mobilizar os esforços necessários ao encaminhamento, em tempo hábil, dos Relatórios das atividades de pré – conferência, dos Grupos de Trabalho e da Plenária Final da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Parágrafo único. A Comissão de Formulação e Relatoria trabalhará articulada com a Comissão de Comunicação e Mobilização e com a Assessoria de Comunicação da Secretaria Municipal de Saúde na divulgação dos textos para a conferência.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Art. 9° A Comissão de Comunicação e Mobilização tem as seguintes atribuições: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I. Definir e viabilizar os meios para divulgação da conferência, incluindo imprensa, Internet e outras mídias;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II. Divulgar amplamente o Regimento e o Regulamento da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III. Orientar as atividades de comunicação social da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IV. Apresentar relatórios periódicos das ações de comunicação e divulgação, incluindo recursos na mídia;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V. Divulgar a produção de materiais, da programação e o Relatório Final da conferência;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VI. Atuar na mobilização visando à maior participação de todos os segmentos organizados nas fases previstas no Art. 4o deste Regimento;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lastRenderedPageBreak/>
        <w:t>VII. Definir a apoiar calendário de atividades para mobilização das organizações populares e institucionais.</w:t>
      </w:r>
    </w:p>
    <w:p w:rsidR="00A67BE7" w:rsidRPr="00A67BE7" w:rsidRDefault="00A67BE7" w:rsidP="00A67B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A67BE7">
        <w:rPr>
          <w:rFonts w:ascii="Arial" w:hAnsi="Arial" w:cs="Arial"/>
          <w:sz w:val="24"/>
          <w:szCs w:val="24"/>
          <w:lang w:bidi="ar-SA"/>
        </w:rPr>
        <w:t>Parágrafo único. A Comissão de Comunicação e Mobilização trabalhará articulada com a Assessoria de Comunicação da Secretaria Municipal de Saúde.</w:t>
      </w:r>
    </w:p>
    <w:p w:rsidR="0018664B" w:rsidRPr="00FD40DF" w:rsidRDefault="0018664B" w:rsidP="00FD40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</w:p>
    <w:p w:rsidR="00FD40DF" w:rsidRPr="0018664B" w:rsidRDefault="00FD40DF" w:rsidP="00186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18664B">
        <w:rPr>
          <w:rFonts w:ascii="Arial" w:hAnsi="Arial" w:cs="Arial"/>
          <w:b/>
          <w:sz w:val="24"/>
          <w:szCs w:val="24"/>
          <w:lang w:bidi="ar-SA"/>
        </w:rPr>
        <w:t>CAPÍTULO VI</w:t>
      </w:r>
    </w:p>
    <w:p w:rsidR="00FD40DF" w:rsidRDefault="00FD40DF" w:rsidP="00186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18664B">
        <w:rPr>
          <w:rFonts w:ascii="Arial" w:hAnsi="Arial" w:cs="Arial"/>
          <w:b/>
          <w:sz w:val="24"/>
          <w:szCs w:val="24"/>
          <w:lang w:bidi="ar-SA"/>
        </w:rPr>
        <w:t>DOS PARTICIPANTES</w:t>
      </w:r>
    </w:p>
    <w:p w:rsidR="0018664B" w:rsidRPr="0018664B" w:rsidRDefault="0018664B" w:rsidP="00186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FD40DF" w:rsidRDefault="00375967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Art. 10 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contará com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>
        <w:rPr>
          <w:rFonts w:ascii="Arial" w:hAnsi="Arial" w:cs="Arial"/>
          <w:sz w:val="24"/>
          <w:szCs w:val="24"/>
          <w:lang w:bidi="ar-SA"/>
        </w:rPr>
        <w:t>22</w:t>
      </w:r>
      <w:r w:rsidR="00FD40DF" w:rsidRPr="00FD40DF">
        <w:rPr>
          <w:rFonts w:ascii="Arial" w:hAnsi="Arial" w:cs="Arial"/>
          <w:sz w:val="24"/>
          <w:szCs w:val="24"/>
          <w:lang w:bidi="ar-SA"/>
        </w:rPr>
        <w:t xml:space="preserve"> participantes, sendo </w:t>
      </w:r>
      <w:r>
        <w:rPr>
          <w:rFonts w:ascii="Arial" w:hAnsi="Arial" w:cs="Arial"/>
          <w:sz w:val="24"/>
          <w:szCs w:val="24"/>
          <w:lang w:bidi="ar-SA"/>
        </w:rPr>
        <w:t>16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delegados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 xml:space="preserve">(as) e </w:t>
      </w:r>
      <w:r>
        <w:rPr>
          <w:rFonts w:ascii="Arial" w:hAnsi="Arial" w:cs="Arial"/>
          <w:sz w:val="24"/>
          <w:szCs w:val="24"/>
          <w:lang w:bidi="ar-SA"/>
        </w:rPr>
        <w:t>6</w:t>
      </w:r>
      <w:r w:rsidR="00FD40DF" w:rsidRPr="00FD40DF">
        <w:rPr>
          <w:rFonts w:ascii="Arial" w:hAnsi="Arial" w:cs="Arial"/>
          <w:sz w:val="24"/>
          <w:szCs w:val="24"/>
          <w:lang w:bidi="ar-SA"/>
        </w:rPr>
        <w:t xml:space="preserve"> convidado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(as) nos termos deste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Regimento.</w:t>
      </w:r>
    </w:p>
    <w:p w:rsidR="00FD40DF" w:rsidRPr="00FD40DF" w:rsidRDefault="00FD40DF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§ 1º A definição dos participantes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Pr="00FD40DF">
        <w:rPr>
          <w:rFonts w:ascii="Arial" w:hAnsi="Arial" w:cs="Arial"/>
          <w:sz w:val="24"/>
          <w:szCs w:val="24"/>
          <w:lang w:bidi="ar-SA"/>
        </w:rPr>
        <w:t>buscará atender aos seguintes critérios:</w:t>
      </w:r>
    </w:p>
    <w:p w:rsidR="00FD40DF" w:rsidRPr="00FD40DF" w:rsidRDefault="00FD40DF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50% de delegados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e convidado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indicados por organizações, urbanas e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rurais, representativas do segmento de usuários;</w:t>
      </w:r>
    </w:p>
    <w:p w:rsidR="00FD40DF" w:rsidRPr="00FD40DF" w:rsidRDefault="00FD40DF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II. 25% de delegados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e convidado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indicados por organizações, das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diversas categorias, representativas do segmento de trabalhadores da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saúde vinculados ao SUS;</w:t>
      </w:r>
    </w:p>
    <w:p w:rsidR="00FD40DF" w:rsidRPr="00FD40DF" w:rsidRDefault="00FD40DF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III. 25% de delegados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e convidado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indicados por organizações, das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diversas categorias, representativas do segmento de gestores/prestadores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de serviços de saúde vinculados ao SUS;</w:t>
      </w:r>
    </w:p>
    <w:p w:rsidR="00FD40DF" w:rsidRPr="00FD40DF" w:rsidRDefault="00FD40DF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2º O número de convidado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previsto no caput deste Artigo equivale a 30%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(trinta por cento) do número total de delegados</w:t>
      </w:r>
      <w:r w:rsidR="0018664B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(as).</w:t>
      </w:r>
    </w:p>
    <w:p w:rsidR="00FD40DF" w:rsidRPr="00FD40DF" w:rsidRDefault="00375967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Art. 11 Os participantes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="00FD40DF" w:rsidRPr="00FD40DF">
        <w:rPr>
          <w:rFonts w:ascii="Arial" w:hAnsi="Arial" w:cs="Arial"/>
          <w:sz w:val="24"/>
          <w:szCs w:val="24"/>
          <w:lang w:bidi="ar-SA"/>
        </w:rPr>
        <w:t>distribuir-se-ão em duas categorias:</w:t>
      </w:r>
    </w:p>
    <w:p w:rsidR="00FD40DF" w:rsidRPr="00FD40DF" w:rsidRDefault="00FD40DF" w:rsidP="001866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delegados (as), com direito a voz e voto;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II. convidado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(a)s (as), com direito a voz;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Art. 12 Os delegados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(as)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serão eleitos nas atividades de </w:t>
      </w:r>
      <w:r w:rsidR="00375967">
        <w:rPr>
          <w:rFonts w:ascii="Arial" w:hAnsi="Arial" w:cs="Arial"/>
          <w:sz w:val="24"/>
          <w:szCs w:val="24"/>
          <w:lang w:bidi="ar-SA"/>
        </w:rPr>
        <w:t>conferência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e no plenário do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Conselho Municipal de Saúde, os Conselheiros Municipais de Saúde.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Parágrafo único. Os delegados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eleitos pelo Conselho Municipal de Saúde,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preservada a paridade, serão escolhidos entre: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a) Gestores e prestadores de serviço de saúde (25%);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b) Trabalhadores da saúde (25%);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lastRenderedPageBreak/>
        <w:t>c) Usuários (50%).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Art. 13 Serão eleitos, nas atividades de </w:t>
      </w:r>
      <w:r w:rsidR="00375967">
        <w:rPr>
          <w:rFonts w:ascii="Arial" w:hAnsi="Arial" w:cs="Arial"/>
          <w:sz w:val="24"/>
          <w:szCs w:val="24"/>
          <w:lang w:bidi="ar-SA"/>
        </w:rPr>
        <w:t>conferência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e no plenário do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Conselho Municipal de Saúde, 30% (trinta por cento) de delegados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suplentes,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de cada segmento, para a substituição, se necessário, de titulares.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Art. 14 Os convidado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(as) para 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poderão ser escolhidas entre os participantes das atividades de </w:t>
      </w:r>
      <w:r w:rsidR="00375967">
        <w:rPr>
          <w:rFonts w:ascii="Arial" w:hAnsi="Arial" w:cs="Arial"/>
          <w:sz w:val="24"/>
          <w:szCs w:val="24"/>
          <w:lang w:bidi="ar-SA"/>
        </w:rPr>
        <w:t>conferência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 e no plenário do Conselho Municipal de Saúde;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Parágrafo Único. Para que façam jus à condição de convidado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(a), o representante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destacado no “caput” deste Art. deve ter participado de, pelo menos, uma das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atividades de </w:t>
      </w:r>
      <w:r w:rsidR="00375967">
        <w:rPr>
          <w:rFonts w:ascii="Arial" w:hAnsi="Arial" w:cs="Arial"/>
          <w:sz w:val="24"/>
          <w:szCs w:val="24"/>
          <w:lang w:bidi="ar-SA"/>
        </w:rPr>
        <w:t>conferência</w:t>
      </w:r>
      <w:r w:rsidRPr="00FD40DF">
        <w:rPr>
          <w:rFonts w:ascii="Arial" w:hAnsi="Arial" w:cs="Arial"/>
          <w:sz w:val="24"/>
          <w:szCs w:val="24"/>
          <w:lang w:bidi="ar-SA"/>
        </w:rPr>
        <w:t>.</w:t>
      </w:r>
    </w:p>
    <w:p w:rsidR="00494364" w:rsidRDefault="00494364" w:rsidP="00FD40D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  <w:lang w:bidi="ar-SA"/>
        </w:rPr>
      </w:pP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494364">
        <w:rPr>
          <w:rFonts w:ascii="Arial" w:hAnsi="Arial" w:cs="Arial"/>
          <w:b/>
          <w:sz w:val="24"/>
          <w:szCs w:val="24"/>
          <w:lang w:bidi="ar-SA"/>
        </w:rPr>
        <w:t>CAPÍTULO VII</w:t>
      </w:r>
    </w:p>
    <w:p w:rsidR="00FD40DF" w:rsidRDefault="00FD40DF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494364">
        <w:rPr>
          <w:rFonts w:ascii="Arial" w:hAnsi="Arial" w:cs="Arial"/>
          <w:b/>
          <w:sz w:val="24"/>
          <w:szCs w:val="24"/>
          <w:lang w:bidi="ar-SA"/>
        </w:rPr>
        <w:t>DAS INSTÂNCIAS DE DECISÃO</w:t>
      </w:r>
    </w:p>
    <w:p w:rsidR="00494364" w:rsidRPr="00494364" w:rsidRDefault="00494364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 xml:space="preserve">Art. 15 São instâncias de decisão na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5439FA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Etapa da Municipal da Conferência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Nacional de Saúde: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I. Os grupos de trabalho;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II. Plenária Final.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1º Os grupos de trabalho serão compostos paritariamente por delegados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(as) nos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termos da Resolução CNS nº 453/2012 do Conselho Nacional de Saúde com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participação de convidado(a)s, estes proporcionalmente divididos em relação ao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seu número total.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2º Os trabalhos em grupos serão realizados, simultaneamente, para discutir e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 xml:space="preserve">votar os conteúdos do Relatório Consolidado das atividades de </w:t>
      </w:r>
      <w:r w:rsidR="00375967">
        <w:rPr>
          <w:rFonts w:ascii="Arial" w:hAnsi="Arial" w:cs="Arial"/>
          <w:sz w:val="24"/>
          <w:szCs w:val="24"/>
          <w:lang w:bidi="ar-SA"/>
        </w:rPr>
        <w:t>conferência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e formulação de novas propostas.</w:t>
      </w:r>
    </w:p>
    <w:p w:rsidR="00FD40DF" w:rsidRPr="00FD40DF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FD40DF">
        <w:rPr>
          <w:rFonts w:ascii="Arial" w:hAnsi="Arial" w:cs="Arial"/>
          <w:sz w:val="24"/>
          <w:szCs w:val="24"/>
          <w:lang w:bidi="ar-SA"/>
        </w:rPr>
        <w:t>§ 3º A Plenária Final tem por objetivo debater, aprovar ou rejeitar propostas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provenientes do Relatório Consolidado dos trabalhos em grupos e as propostas de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FD40DF">
        <w:rPr>
          <w:rFonts w:ascii="Arial" w:hAnsi="Arial" w:cs="Arial"/>
          <w:sz w:val="24"/>
          <w:szCs w:val="24"/>
          <w:lang w:bidi="ar-SA"/>
        </w:rPr>
        <w:t>moções.</w:t>
      </w:r>
    </w:p>
    <w:p w:rsidR="00494364" w:rsidRDefault="00494364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494364">
        <w:rPr>
          <w:rFonts w:ascii="Arial" w:hAnsi="Arial" w:cs="Arial"/>
          <w:b/>
          <w:sz w:val="24"/>
          <w:szCs w:val="24"/>
          <w:lang w:bidi="ar-SA"/>
        </w:rPr>
        <w:t>CAPÍTULO VIII</w:t>
      </w:r>
    </w:p>
    <w:p w:rsidR="00FD40DF" w:rsidRDefault="00FD40DF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494364">
        <w:rPr>
          <w:rFonts w:ascii="Arial" w:hAnsi="Arial" w:cs="Arial"/>
          <w:b/>
          <w:sz w:val="24"/>
          <w:szCs w:val="24"/>
          <w:lang w:bidi="ar-SA"/>
        </w:rPr>
        <w:t>DAS DISPOSIÇÕES FINAIS</w:t>
      </w:r>
    </w:p>
    <w:p w:rsidR="00494364" w:rsidRPr="00494364" w:rsidRDefault="00494364" w:rsidP="004943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lastRenderedPageBreak/>
        <w:t>Art. 16 O monitoramento da aplicação das diretrizes aprovadas na conferência</w:t>
      </w:r>
      <w:r w:rsidR="00494364" w:rsidRP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será realizado no processo de elaboração e execução do Plano Municipal de Saúde</w:t>
      </w:r>
      <w:r w:rsidR="00494364" w:rsidRP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e das Programações Anuais de Saúde.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 xml:space="preserve">Art. 17 O Relatório Final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Pr="00494364">
        <w:rPr>
          <w:rFonts w:ascii="Arial" w:hAnsi="Arial" w:cs="Arial"/>
          <w:sz w:val="24"/>
          <w:szCs w:val="24"/>
          <w:lang w:bidi="ar-SA"/>
        </w:rPr>
        <w:t>conterá as propostas e Moções apro</w:t>
      </w:r>
      <w:r w:rsidR="00494364" w:rsidRPr="00494364">
        <w:rPr>
          <w:rFonts w:ascii="Arial" w:hAnsi="Arial" w:cs="Arial"/>
          <w:sz w:val="24"/>
          <w:szCs w:val="24"/>
          <w:lang w:bidi="ar-SA"/>
        </w:rPr>
        <w:t xml:space="preserve">vadas na Plenária Final devendo </w:t>
      </w:r>
      <w:r w:rsidRPr="00494364">
        <w:rPr>
          <w:rFonts w:ascii="Arial" w:hAnsi="Arial" w:cs="Arial"/>
          <w:sz w:val="24"/>
          <w:szCs w:val="24"/>
          <w:lang w:bidi="ar-SA"/>
        </w:rPr>
        <w:t>conter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diretrizes que possam subsidiar a elaboração do Plano Municipal de Saúde e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>contribuir para o fortalecimento das políticas e programas de Atenção à Saúde</w:t>
      </w:r>
      <w:r w:rsidR="00494364" w:rsidRP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da população.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 xml:space="preserve">Parágrafo único. O Relatório aprovado na Plenária Final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 xml:space="preserve">Etapa Municipal da Conferência Nacional de Saúde </w:t>
      </w:r>
      <w:r w:rsidRPr="00494364">
        <w:rPr>
          <w:rFonts w:ascii="Arial" w:hAnsi="Arial" w:cs="Arial"/>
          <w:sz w:val="24"/>
          <w:szCs w:val="24"/>
          <w:lang w:bidi="ar-SA"/>
        </w:rPr>
        <w:t>será encaminhado ao Gabinete da</w:t>
      </w:r>
      <w:r w:rsidR="00494364" w:rsidRP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Secretaria </w:t>
      </w:r>
      <w:r w:rsidRPr="00494364">
        <w:rPr>
          <w:rFonts w:ascii="Arial" w:hAnsi="Arial" w:cs="Arial"/>
          <w:sz w:val="24"/>
          <w:szCs w:val="24"/>
          <w:lang w:bidi="ar-SA"/>
        </w:rPr>
        <w:t>Municipal de Saúde, publicado no site da Prefeitura Municipal e deve</w:t>
      </w:r>
      <w:r w:rsidR="00494364" w:rsidRP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ser </w:t>
      </w:r>
      <w:r w:rsidRPr="00494364">
        <w:rPr>
          <w:rFonts w:ascii="Arial" w:hAnsi="Arial" w:cs="Arial"/>
          <w:sz w:val="24"/>
          <w:szCs w:val="24"/>
          <w:lang w:bidi="ar-SA"/>
        </w:rPr>
        <w:t>amplamente divulgado, servindo de base para os processos de monitoramento.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>Art. 18 O Regulamento da</w:t>
      </w:r>
      <w:r w:rsidR="005439FA">
        <w:rPr>
          <w:rFonts w:ascii="Arial" w:hAnsi="Arial" w:cs="Arial"/>
          <w:sz w:val="24"/>
          <w:szCs w:val="24"/>
          <w:lang w:bidi="ar-SA"/>
        </w:rPr>
        <w:t xml:space="preserve">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Etapa da Municipal da Conferência Nacional de Saúde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>será elaborado pela Comissão Organizadora e submetido à apreciação e aprovação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>do Plenário do Conselho Municipal de Saúde.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>Art. 19 Os casos omissos neste Regimento serão resolvidos pela Comissão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 xml:space="preserve">Organizadora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Pr="00494364">
        <w:rPr>
          <w:rFonts w:ascii="Arial" w:hAnsi="Arial" w:cs="Arial"/>
          <w:sz w:val="24"/>
          <w:szCs w:val="24"/>
          <w:lang w:bidi="ar-SA"/>
        </w:rPr>
        <w:t xml:space="preserve"> Etapa da Municipal da Conferência Nacional de Saúde.</w:t>
      </w:r>
    </w:p>
    <w:p w:rsidR="00FD40DF" w:rsidRPr="00494364" w:rsidRDefault="00FD40DF" w:rsidP="004943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ar-SA"/>
        </w:rPr>
      </w:pPr>
      <w:r w:rsidRPr="00494364">
        <w:rPr>
          <w:rFonts w:ascii="Arial" w:hAnsi="Arial" w:cs="Arial"/>
          <w:sz w:val="24"/>
          <w:szCs w:val="24"/>
          <w:lang w:bidi="ar-SA"/>
        </w:rPr>
        <w:t xml:space="preserve">Art. 20 Concluído o Relatório Final da </w:t>
      </w:r>
      <w:r w:rsidR="00BE3B1F">
        <w:rPr>
          <w:rFonts w:ascii="Arial" w:hAnsi="Arial" w:cs="Arial"/>
          <w:sz w:val="24"/>
          <w:szCs w:val="24"/>
          <w:lang w:bidi="ar-SA"/>
        </w:rPr>
        <w:t>V</w:t>
      </w:r>
      <w:r w:rsidR="00375967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Etapa da Municipal da Conferência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</w:t>
      </w:r>
      <w:r w:rsidRPr="00494364">
        <w:rPr>
          <w:rFonts w:ascii="Arial" w:hAnsi="Arial" w:cs="Arial"/>
          <w:sz w:val="24"/>
          <w:szCs w:val="24"/>
          <w:lang w:bidi="ar-SA"/>
        </w:rPr>
        <w:t>Nacional de Saúde, o Conselho Municipal de Saúde deverá inseri-lo,</w:t>
      </w:r>
      <w:r w:rsidR="00494364">
        <w:rPr>
          <w:rFonts w:ascii="Arial" w:hAnsi="Arial" w:cs="Arial"/>
          <w:sz w:val="24"/>
          <w:szCs w:val="24"/>
          <w:lang w:bidi="ar-SA"/>
        </w:rPr>
        <w:t xml:space="preserve"> imediatamente, </w:t>
      </w:r>
      <w:r w:rsidRPr="00494364">
        <w:rPr>
          <w:rFonts w:ascii="Arial" w:hAnsi="Arial" w:cs="Arial"/>
          <w:sz w:val="24"/>
          <w:szCs w:val="24"/>
          <w:lang w:bidi="ar-SA"/>
        </w:rPr>
        <w:t>no Sistema de Informação e Apoio aos Conselhos de Saúde – SIACS</w:t>
      </w:r>
    </w:p>
    <w:p w:rsidR="00375967" w:rsidRDefault="00375967" w:rsidP="00D20DEE">
      <w:pPr>
        <w:autoSpaceDE w:val="0"/>
        <w:autoSpaceDN w:val="0"/>
        <w:adjustRightInd w:val="0"/>
        <w:spacing w:before="240" w:line="360" w:lineRule="auto"/>
        <w:ind w:firstLine="708"/>
        <w:jc w:val="left"/>
        <w:rPr>
          <w:rFonts w:ascii="Arial" w:hAnsi="Arial" w:cs="Arial"/>
          <w:sz w:val="24"/>
          <w:szCs w:val="24"/>
          <w:lang w:bidi="ar-SA"/>
        </w:rPr>
      </w:pPr>
    </w:p>
    <w:p w:rsidR="00FD40DF" w:rsidRDefault="00FD40DF" w:rsidP="00D74BA4">
      <w:pPr>
        <w:autoSpaceDE w:val="0"/>
        <w:autoSpaceDN w:val="0"/>
        <w:adjustRightInd w:val="0"/>
        <w:spacing w:before="240" w:line="360" w:lineRule="auto"/>
        <w:ind w:firstLine="708"/>
        <w:rPr>
          <w:rFonts w:ascii="Arial" w:hAnsi="Arial" w:cs="Arial"/>
          <w:sz w:val="24"/>
          <w:szCs w:val="24"/>
          <w:lang w:bidi="ar-SA"/>
        </w:rPr>
      </w:pPr>
      <w:r w:rsidRPr="00D74BA4">
        <w:rPr>
          <w:rFonts w:ascii="Arial" w:hAnsi="Arial" w:cs="Arial"/>
          <w:sz w:val="24"/>
          <w:szCs w:val="24"/>
          <w:lang w:bidi="ar-SA"/>
        </w:rPr>
        <w:t xml:space="preserve">Plenário do Conselho Municipal de Saúde, aos  </w:t>
      </w:r>
      <w:r w:rsidR="007D0E9D">
        <w:rPr>
          <w:rFonts w:ascii="Arial" w:hAnsi="Arial" w:cs="Arial"/>
          <w:sz w:val="24"/>
          <w:szCs w:val="24"/>
          <w:lang w:bidi="ar-SA"/>
        </w:rPr>
        <w:t xml:space="preserve">08 </w:t>
      </w:r>
      <w:r w:rsidRPr="00D74BA4">
        <w:rPr>
          <w:rFonts w:ascii="Arial" w:hAnsi="Arial" w:cs="Arial"/>
          <w:sz w:val="24"/>
          <w:szCs w:val="24"/>
          <w:lang w:bidi="ar-SA"/>
        </w:rPr>
        <w:t>dias do mês de</w:t>
      </w:r>
      <w:r w:rsidR="00494364" w:rsidRPr="00D74BA4">
        <w:rPr>
          <w:rFonts w:ascii="Arial" w:hAnsi="Arial" w:cs="Arial"/>
          <w:sz w:val="24"/>
          <w:szCs w:val="24"/>
          <w:lang w:bidi="ar-SA"/>
        </w:rPr>
        <w:t xml:space="preserve"> </w:t>
      </w:r>
      <w:r w:rsidR="007D0E9D">
        <w:rPr>
          <w:rFonts w:ascii="Arial" w:hAnsi="Arial" w:cs="Arial"/>
          <w:sz w:val="24"/>
          <w:szCs w:val="24"/>
          <w:lang w:bidi="ar-SA"/>
        </w:rPr>
        <w:t xml:space="preserve">Fevereiro </w:t>
      </w:r>
      <w:r w:rsidR="00375967" w:rsidRPr="00D74BA4">
        <w:rPr>
          <w:rFonts w:ascii="Arial" w:hAnsi="Arial" w:cs="Arial"/>
          <w:sz w:val="24"/>
          <w:szCs w:val="24"/>
          <w:lang w:bidi="ar-SA"/>
        </w:rPr>
        <w:t>de 2019</w:t>
      </w:r>
      <w:r w:rsidRPr="00D74BA4">
        <w:rPr>
          <w:rFonts w:ascii="Arial" w:hAnsi="Arial" w:cs="Arial"/>
          <w:sz w:val="24"/>
          <w:szCs w:val="24"/>
          <w:lang w:bidi="ar-SA"/>
        </w:rPr>
        <w:t>.</w:t>
      </w:r>
    </w:p>
    <w:p w:rsidR="004346CA" w:rsidRDefault="004346CA" w:rsidP="00D74BA4">
      <w:pPr>
        <w:autoSpaceDE w:val="0"/>
        <w:autoSpaceDN w:val="0"/>
        <w:adjustRightInd w:val="0"/>
        <w:spacing w:before="240" w:line="360" w:lineRule="auto"/>
        <w:ind w:firstLine="708"/>
        <w:rPr>
          <w:rFonts w:ascii="Arial" w:hAnsi="Arial" w:cs="Arial"/>
          <w:sz w:val="24"/>
          <w:szCs w:val="24"/>
          <w:lang w:bidi="ar-SA"/>
        </w:rPr>
      </w:pPr>
    </w:p>
    <w:p w:rsidR="004346CA" w:rsidRPr="00D74BA4" w:rsidRDefault="004346CA" w:rsidP="00D74BA4">
      <w:pPr>
        <w:autoSpaceDE w:val="0"/>
        <w:autoSpaceDN w:val="0"/>
        <w:adjustRightInd w:val="0"/>
        <w:spacing w:before="240" w:line="360" w:lineRule="auto"/>
        <w:ind w:firstLine="708"/>
        <w:rPr>
          <w:rFonts w:ascii="Arial" w:hAnsi="Arial" w:cs="Arial"/>
          <w:sz w:val="24"/>
          <w:szCs w:val="24"/>
          <w:lang w:bidi="ar-SA"/>
        </w:rPr>
      </w:pPr>
    </w:p>
    <w:sectPr w:rsidR="004346CA" w:rsidRPr="00D74BA4" w:rsidSect="00FD40D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0DF"/>
    <w:rsid w:val="0018472B"/>
    <w:rsid w:val="0018664B"/>
    <w:rsid w:val="002B21E2"/>
    <w:rsid w:val="002F4F37"/>
    <w:rsid w:val="00347DF6"/>
    <w:rsid w:val="00375967"/>
    <w:rsid w:val="003B7EFC"/>
    <w:rsid w:val="004346CA"/>
    <w:rsid w:val="00474530"/>
    <w:rsid w:val="00494364"/>
    <w:rsid w:val="004A685F"/>
    <w:rsid w:val="004D0C79"/>
    <w:rsid w:val="005253EF"/>
    <w:rsid w:val="005439FA"/>
    <w:rsid w:val="005C677D"/>
    <w:rsid w:val="00601725"/>
    <w:rsid w:val="006253B6"/>
    <w:rsid w:val="007D0E9D"/>
    <w:rsid w:val="0094703F"/>
    <w:rsid w:val="00987424"/>
    <w:rsid w:val="009F07ED"/>
    <w:rsid w:val="00A120C6"/>
    <w:rsid w:val="00A67BE7"/>
    <w:rsid w:val="00A826AE"/>
    <w:rsid w:val="00AE684B"/>
    <w:rsid w:val="00B87D36"/>
    <w:rsid w:val="00BE3B1F"/>
    <w:rsid w:val="00C16352"/>
    <w:rsid w:val="00D20DEE"/>
    <w:rsid w:val="00D74BA4"/>
    <w:rsid w:val="00D80855"/>
    <w:rsid w:val="00D977BF"/>
    <w:rsid w:val="00F96907"/>
    <w:rsid w:val="00FC5622"/>
    <w:rsid w:val="00FD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2B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472B"/>
    <w:pPr>
      <w:keepNext/>
      <w:pBdr>
        <w:bottom w:val="thinThickSmallGap" w:sz="12" w:space="1" w:color="943634" w:themeColor="accent2" w:themeShade="BF"/>
      </w:pBdr>
      <w:suppressAutoHyphens/>
      <w:spacing w:before="400" w:after="120"/>
      <w:outlineLvl w:val="0"/>
    </w:pPr>
    <w:rPr>
      <w:rFonts w:ascii="Arial" w:eastAsia="Microsoft YaHei" w:hAnsi="Arial" w:cs="Mangal"/>
      <w:caps/>
      <w:color w:val="000000" w:themeColor="text1"/>
      <w:spacing w:val="20"/>
      <w:sz w:val="24"/>
      <w:szCs w:val="28"/>
      <w:lang w:val="en-US" w:eastAsia="zh-CN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47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47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47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472B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472B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472B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472B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472B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472B"/>
    <w:rPr>
      <w:rFonts w:ascii="Arial" w:eastAsia="Microsoft YaHei" w:hAnsi="Arial" w:cs="Mangal"/>
      <w:caps/>
      <w:color w:val="000000" w:themeColor="text1"/>
      <w:spacing w:val="20"/>
      <w:sz w:val="24"/>
      <w:szCs w:val="28"/>
      <w:lang w:eastAsia="zh-CN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472B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472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47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47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472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472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472B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472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nhideWhenUsed/>
    <w:qFormat/>
    <w:rsid w:val="0018472B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847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18472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qFormat/>
    <w:rsid w:val="0018472B"/>
    <w:pPr>
      <w:spacing w:after="560"/>
      <w:jc w:val="center"/>
    </w:pPr>
    <w:rPr>
      <w:rFonts w:eastAsiaTheme="majorEastAsia"/>
      <w:caps/>
      <w:spacing w:val="20"/>
      <w:sz w:val="18"/>
      <w:szCs w:val="18"/>
      <w:lang w:val="en-US"/>
    </w:rPr>
  </w:style>
  <w:style w:type="character" w:customStyle="1" w:styleId="SubttuloChar">
    <w:name w:val="Subtítulo Char"/>
    <w:basedOn w:val="Fontepargpadro"/>
    <w:link w:val="Subttulo"/>
    <w:rsid w:val="0018472B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18472B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18472B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18472B"/>
  </w:style>
  <w:style w:type="character" w:customStyle="1" w:styleId="SemEspaamentoChar">
    <w:name w:val="Sem Espaçamento Char"/>
    <w:basedOn w:val="Fontepargpadro"/>
    <w:link w:val="SemEspaamento"/>
    <w:uiPriority w:val="1"/>
    <w:rsid w:val="0018472B"/>
    <w:rPr>
      <w:lang w:val="pt-BR"/>
    </w:rPr>
  </w:style>
  <w:style w:type="paragraph" w:styleId="PargrafodaLista">
    <w:name w:val="List Paragraph"/>
    <w:basedOn w:val="Normal"/>
    <w:uiPriority w:val="34"/>
    <w:qFormat/>
    <w:rsid w:val="0018472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18472B"/>
    <w:rPr>
      <w:rFonts w:eastAsiaTheme="majorEastAsia"/>
      <w:i/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18472B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47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  <w:lang w:val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472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18472B"/>
    <w:rPr>
      <w:i/>
      <w:iCs/>
    </w:rPr>
  </w:style>
  <w:style w:type="character" w:styleId="nfaseIntensa">
    <w:name w:val="Intense Emphasis"/>
    <w:uiPriority w:val="21"/>
    <w:qFormat/>
    <w:rsid w:val="0018472B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1847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1847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18472B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8472B"/>
    <w:pPr>
      <w:outlineLvl w:val="9"/>
    </w:pPr>
    <w:rPr>
      <w:lang w:val="pt-BR"/>
    </w:rPr>
  </w:style>
  <w:style w:type="paragraph" w:customStyle="1" w:styleId="TableParagraph">
    <w:name w:val="Table Paragraph"/>
    <w:basedOn w:val="Normal"/>
    <w:uiPriority w:val="1"/>
    <w:qFormat/>
    <w:rsid w:val="0018472B"/>
    <w:pPr>
      <w:widowControl w:val="0"/>
    </w:pPr>
    <w:rPr>
      <w:rFonts w:ascii="Arial" w:eastAsia="Arial" w:hAnsi="Arial" w:cs="Arial"/>
      <w:lang w:bidi="ar-SA"/>
    </w:rPr>
  </w:style>
  <w:style w:type="paragraph" w:customStyle="1" w:styleId="Estilo1">
    <w:name w:val="Estilo1"/>
    <w:basedOn w:val="Normal"/>
    <w:next w:val="Normal"/>
    <w:qFormat/>
    <w:rsid w:val="0018472B"/>
    <w:pPr>
      <w:jc w:val="center"/>
    </w:pPr>
    <w:rPr>
      <w:rFonts w:ascii="Arial" w:hAnsi="Arial" w:cs="Arial"/>
      <w:b/>
      <w:bCs/>
      <w:color w:val="1F497D" w:themeColor="text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2208</Words>
  <Characters>11924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</dc:creator>
  <cp:lastModifiedBy>SAÚDE</cp:lastModifiedBy>
  <cp:revision>4</cp:revision>
  <cp:lastPrinted>2019-02-25T14:38:00Z</cp:lastPrinted>
  <dcterms:created xsi:type="dcterms:W3CDTF">2019-02-25T14:35:00Z</dcterms:created>
  <dcterms:modified xsi:type="dcterms:W3CDTF">2019-02-25T14:38:00Z</dcterms:modified>
</cp:coreProperties>
</file>